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532A2" w14:textId="6EA20199" w:rsidR="009E453D" w:rsidRPr="00E52DEE" w:rsidRDefault="00E64F43" w:rsidP="00E52DEE">
      <w:pPr>
        <w:spacing w:after="0" w:line="240" w:lineRule="auto"/>
        <w:ind w:firstLine="142"/>
        <w:jc w:val="center"/>
        <w:rPr>
          <w:rFonts w:ascii="Times New Roman" w:eastAsiaTheme="minorEastAsia" w:hAnsi="Times New Roman"/>
          <w:b/>
          <w:sz w:val="28"/>
          <w:szCs w:val="28"/>
          <w:lang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Заместителя Премьер-Министра - Министра национальной экономики Республики</w:t>
      </w:r>
      <w:r w:rsidR="000A1C56" w:rsidRPr="00370F9E">
        <w:rPr>
          <w:rFonts w:ascii="Times New Roman" w:eastAsiaTheme="minorEastAsia" w:hAnsi="Times New Roman"/>
          <w:b/>
          <w:sz w:val="28"/>
          <w:szCs w:val="28"/>
          <w:lang w:eastAsia="ru-RU"/>
        </w:rPr>
        <w:t xml:space="preserve"> Казахстан «</w:t>
      </w:r>
      <w:r w:rsidR="00E52DEE" w:rsidRPr="00E52DEE">
        <w:rPr>
          <w:rFonts w:ascii="Times New Roman" w:eastAsiaTheme="minorEastAsia" w:hAnsi="Times New Roman"/>
          <w:b/>
          <w:sz w:val="28"/>
          <w:szCs w:val="28"/>
          <w:lang w:eastAsia="ru-RU"/>
        </w:rPr>
        <w:t>Об утверждении Методики определения лимитов государственных обязательств по проектам строительства «под ключ» Правительства Республики Казахстан и местных исполнительных органов</w:t>
      </w:r>
      <w:r w:rsidR="009E453D" w:rsidRPr="00370F9E">
        <w:rPr>
          <w:rFonts w:ascii="Times New Roman" w:eastAsiaTheme="minorEastAsia" w:hAnsi="Times New Roman"/>
          <w:b/>
          <w:sz w:val="28"/>
          <w:szCs w:val="28"/>
          <w:lang w:eastAsia="ru-RU"/>
        </w:rPr>
        <w:t>»</w:t>
      </w:r>
      <w:r w:rsidR="00753C6D" w:rsidRPr="00370F9E">
        <w:rPr>
          <w:rFonts w:ascii="Times New Roman" w:eastAsiaTheme="minorEastAsia" w:hAnsi="Times New Roman"/>
          <w:b/>
          <w:sz w:val="28"/>
          <w:szCs w:val="28"/>
          <w:lang w:val="kk-KZ" w:eastAsia="ru-RU"/>
        </w:rPr>
        <w:t xml:space="preserve"> </w:t>
      </w:r>
    </w:p>
    <w:p w14:paraId="168292C2" w14:textId="3BE34CBD"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A8CA150" w14:textId="4EC7801C" w:rsidR="00D871BF" w:rsidRPr="00D871BF" w:rsidRDefault="00D871BF" w:rsidP="00D871BF">
      <w:pPr>
        <w:spacing w:after="0" w:line="240" w:lineRule="auto"/>
        <w:ind w:firstLine="709"/>
        <w:jc w:val="both"/>
        <w:rPr>
          <w:rFonts w:ascii="Times New Roman" w:eastAsia="Times New Roman" w:hAnsi="Times New Roman"/>
          <w:color w:val="000000"/>
          <w:sz w:val="28"/>
        </w:rPr>
      </w:pPr>
      <w:bookmarkStart w:id="1" w:name="z224"/>
      <w:bookmarkEnd w:id="0"/>
      <w:r w:rsidRPr="00D871BF">
        <w:rPr>
          <w:rFonts w:ascii="Times New Roman" w:eastAsia="Times New Roman" w:hAnsi="Times New Roman"/>
          <w:color w:val="000000"/>
          <w:sz w:val="28"/>
        </w:rPr>
        <w:t xml:space="preserve">В </w:t>
      </w:r>
      <w:r w:rsidR="00E52DEE">
        <w:rPr>
          <w:rFonts w:ascii="Times New Roman" w:eastAsia="Times New Roman" w:hAnsi="Times New Roman"/>
          <w:color w:val="000000"/>
          <w:sz w:val="28"/>
        </w:rPr>
        <w:t>соответствии с пунктом 2 статья 147-1 Бюджетного кодекса</w:t>
      </w:r>
      <w:r w:rsidRPr="00D871BF">
        <w:rPr>
          <w:rFonts w:ascii="Times New Roman" w:eastAsia="Times New Roman" w:hAnsi="Times New Roman"/>
          <w:color w:val="000000"/>
          <w:sz w:val="28"/>
        </w:rPr>
        <w:t xml:space="preserve">. </w:t>
      </w:r>
    </w:p>
    <w:p w14:paraId="50624921"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46ECAF0F" w14:textId="6DDD356E" w:rsidR="007871D4" w:rsidRPr="00370F9E" w:rsidRDefault="007871D4" w:rsidP="00EE191A">
      <w:pPr>
        <w:widowControl w:val="0"/>
        <w:spacing w:after="0" w:line="240" w:lineRule="auto"/>
        <w:ind w:firstLine="709"/>
        <w:jc w:val="both"/>
        <w:rPr>
          <w:rFonts w:ascii="Times New Roman" w:eastAsia="Times New Roman" w:hAnsi="Times New Roman"/>
          <w:color w:val="000000"/>
          <w:sz w:val="28"/>
        </w:rPr>
      </w:pPr>
      <w:bookmarkStart w:id="4" w:name="z227"/>
      <w:bookmarkEnd w:id="3"/>
      <w:r w:rsidRPr="00370F9E">
        <w:rPr>
          <w:rFonts w:ascii="Times New Roman" w:eastAsia="Times New Roman" w:hAnsi="Times New Roman"/>
          <w:sz w:val="28"/>
          <w:szCs w:val="28"/>
        </w:rPr>
        <w:t xml:space="preserve">Принятие проекта позволит </w:t>
      </w:r>
      <w:r w:rsidR="00D871BF">
        <w:rPr>
          <w:rFonts w:ascii="Times New Roman" w:eastAsia="Times New Roman" w:hAnsi="Times New Roman"/>
          <w:sz w:val="28"/>
          <w:szCs w:val="28"/>
        </w:rPr>
        <w:t>утвердить методику определения лимитов государственных обязательств по проектам строительства «под ключ» Правительства РК и местных исполнительных органов.</w:t>
      </w:r>
    </w:p>
    <w:p w14:paraId="5B265A9C" w14:textId="5C5B07C8"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5" w:name="z231"/>
      <w:bookmarkEnd w:id="4"/>
      <w:r w:rsidRPr="00370F9E">
        <w:rPr>
          <w:rFonts w:ascii="Times New Roman" w:eastAsia="Times New Roman" w:hAnsi="Times New Roman"/>
          <w:b/>
          <w:color w:val="000000"/>
          <w:sz w:val="28"/>
        </w:rPr>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lastRenderedPageBreak/>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6" w:name="z232"/>
      <w:bookmarkEnd w:id="5"/>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7" w:name="z233"/>
      <w:bookmarkEnd w:id="6"/>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7"/>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0EFF0" w14:textId="77777777" w:rsidR="00DC5034" w:rsidRDefault="00DC5034">
      <w:pPr>
        <w:spacing w:after="0" w:line="240" w:lineRule="auto"/>
      </w:pPr>
      <w:r>
        <w:separator/>
      </w:r>
    </w:p>
  </w:endnote>
  <w:endnote w:type="continuationSeparator" w:id="0">
    <w:p w14:paraId="17FCF6EE" w14:textId="77777777" w:rsidR="00DC5034" w:rsidRDefault="00DC5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EBA79" w14:textId="77777777" w:rsidR="00DC5034" w:rsidRDefault="00DC5034">
      <w:pPr>
        <w:spacing w:after="0" w:line="240" w:lineRule="auto"/>
      </w:pPr>
      <w:r>
        <w:separator/>
      </w:r>
    </w:p>
  </w:footnote>
  <w:footnote w:type="continuationSeparator" w:id="0">
    <w:p w14:paraId="4EE1D19A" w14:textId="77777777" w:rsidR="00DC5034" w:rsidRDefault="00DC5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0A1C5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B4B71"/>
    <w:rsid w:val="001B588E"/>
    <w:rsid w:val="001C1289"/>
    <w:rsid w:val="001C1487"/>
    <w:rsid w:val="001D056F"/>
    <w:rsid w:val="001E2CAD"/>
    <w:rsid w:val="001F055F"/>
    <w:rsid w:val="001F6F41"/>
    <w:rsid w:val="00207D1B"/>
    <w:rsid w:val="002359FA"/>
    <w:rsid w:val="00250063"/>
    <w:rsid w:val="002602A5"/>
    <w:rsid w:val="00266223"/>
    <w:rsid w:val="00271686"/>
    <w:rsid w:val="00273068"/>
    <w:rsid w:val="00283B69"/>
    <w:rsid w:val="00294BBC"/>
    <w:rsid w:val="002C4B3E"/>
    <w:rsid w:val="002C5212"/>
    <w:rsid w:val="002E05FE"/>
    <w:rsid w:val="003079D6"/>
    <w:rsid w:val="003122B8"/>
    <w:rsid w:val="003205E5"/>
    <w:rsid w:val="00321826"/>
    <w:rsid w:val="00325601"/>
    <w:rsid w:val="00333508"/>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6BE9"/>
    <w:rsid w:val="006114B5"/>
    <w:rsid w:val="00614731"/>
    <w:rsid w:val="006262FC"/>
    <w:rsid w:val="00644E0E"/>
    <w:rsid w:val="00667C59"/>
    <w:rsid w:val="00676C00"/>
    <w:rsid w:val="006879D9"/>
    <w:rsid w:val="00697326"/>
    <w:rsid w:val="006A7342"/>
    <w:rsid w:val="006C4D56"/>
    <w:rsid w:val="006C7D01"/>
    <w:rsid w:val="006E63D8"/>
    <w:rsid w:val="007100B0"/>
    <w:rsid w:val="00750079"/>
    <w:rsid w:val="0075209B"/>
    <w:rsid w:val="00752A24"/>
    <w:rsid w:val="007536DD"/>
    <w:rsid w:val="00753C6D"/>
    <w:rsid w:val="007871D4"/>
    <w:rsid w:val="00797B94"/>
    <w:rsid w:val="007A1285"/>
    <w:rsid w:val="007F1B0E"/>
    <w:rsid w:val="008120D8"/>
    <w:rsid w:val="0082071A"/>
    <w:rsid w:val="00822632"/>
    <w:rsid w:val="00824B8A"/>
    <w:rsid w:val="0083177B"/>
    <w:rsid w:val="008718A4"/>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A11E44"/>
    <w:rsid w:val="00A155B8"/>
    <w:rsid w:val="00A34F56"/>
    <w:rsid w:val="00A664BF"/>
    <w:rsid w:val="00A724E5"/>
    <w:rsid w:val="00A73309"/>
    <w:rsid w:val="00AC6713"/>
    <w:rsid w:val="00AF2CBF"/>
    <w:rsid w:val="00AF5602"/>
    <w:rsid w:val="00B335E7"/>
    <w:rsid w:val="00B422EE"/>
    <w:rsid w:val="00B63580"/>
    <w:rsid w:val="00B7307C"/>
    <w:rsid w:val="00B75DC1"/>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7855"/>
    <w:rsid w:val="00C60C51"/>
    <w:rsid w:val="00C611D3"/>
    <w:rsid w:val="00C711A8"/>
    <w:rsid w:val="00C74CCD"/>
    <w:rsid w:val="00C90C3D"/>
    <w:rsid w:val="00CB1F6C"/>
    <w:rsid w:val="00CC2986"/>
    <w:rsid w:val="00CF4649"/>
    <w:rsid w:val="00D050CB"/>
    <w:rsid w:val="00D45205"/>
    <w:rsid w:val="00D5115A"/>
    <w:rsid w:val="00D53EFB"/>
    <w:rsid w:val="00D64BC4"/>
    <w:rsid w:val="00D66FAE"/>
    <w:rsid w:val="00D67DAE"/>
    <w:rsid w:val="00D85CEE"/>
    <w:rsid w:val="00D871BF"/>
    <w:rsid w:val="00DA1CD2"/>
    <w:rsid w:val="00DB4AFD"/>
    <w:rsid w:val="00DC5034"/>
    <w:rsid w:val="00DD0165"/>
    <w:rsid w:val="00DE2F20"/>
    <w:rsid w:val="00DF2DB8"/>
    <w:rsid w:val="00DF64B2"/>
    <w:rsid w:val="00E03519"/>
    <w:rsid w:val="00E16323"/>
    <w:rsid w:val="00E21FEB"/>
    <w:rsid w:val="00E30952"/>
    <w:rsid w:val="00E309AE"/>
    <w:rsid w:val="00E31446"/>
    <w:rsid w:val="00E3306E"/>
    <w:rsid w:val="00E40FEB"/>
    <w:rsid w:val="00E43D4C"/>
    <w:rsid w:val="00E52DEE"/>
    <w:rsid w:val="00E63811"/>
    <w:rsid w:val="00E64F43"/>
    <w:rsid w:val="00E766F8"/>
    <w:rsid w:val="00EB05CE"/>
    <w:rsid w:val="00EC00D3"/>
    <w:rsid w:val="00EC7D23"/>
    <w:rsid w:val="00ED4027"/>
    <w:rsid w:val="00EE191A"/>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641</TotalTime>
  <Pages>2</Pages>
  <Words>450</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56</cp:revision>
  <cp:lastPrinted>2024-06-20T06:06:00Z</cp:lastPrinted>
  <dcterms:created xsi:type="dcterms:W3CDTF">2023-08-17T11:33:00Z</dcterms:created>
  <dcterms:modified xsi:type="dcterms:W3CDTF">2025-08-05T13:02:00Z</dcterms:modified>
</cp:coreProperties>
</file>